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91" w:rsidRPr="00971D52" w:rsidRDefault="00DF6F91" w:rsidP="00DF6F91">
      <w:pPr>
        <w:pStyle w:val="ParaAttribute5"/>
        <w:spacing w:line="276" w:lineRule="auto"/>
        <w:rPr>
          <w:rFonts w:ascii="SimSun" w:eastAsia="SimSun" w:hAnsi="SimSun" w:cs="SimSun"/>
          <w:color w:val="333333"/>
          <w:sz w:val="27"/>
          <w:szCs w:val="27"/>
        </w:rPr>
      </w:pP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由缅甸联邦工商联合会主办</w:t>
      </w:r>
      <w:r w:rsidR="00DF2BB0" w:rsidRPr="00971D52">
        <w:rPr>
          <w:rFonts w:ascii="SimSun" w:eastAsia="SimSun" w:hAnsi="SimSun" w:cs="SimSun" w:hint="eastAsia"/>
          <w:color w:val="333333"/>
          <w:sz w:val="27"/>
          <w:szCs w:val="27"/>
        </w:rPr>
        <w:t>，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缅甸电力部、</w:t>
      </w:r>
      <w:r w:rsidR="00CF1F63" w:rsidRPr="00CF1F63">
        <w:rPr>
          <w:rFonts w:ascii="SimSun" w:eastAsia="SimSun" w:hAnsi="SimSun" w:cs="SimSun" w:hint="eastAsia"/>
          <w:color w:val="333333"/>
          <w:sz w:val="27"/>
          <w:szCs w:val="27"/>
        </w:rPr>
        <w:t>缅甸畜牧水产和农村发展部</w:t>
      </w:r>
      <w:r w:rsidR="00CF1F63">
        <w:rPr>
          <w:rFonts w:ascii="SimSun" w:eastAsia="SimSun" w:hAnsi="SimSun" w:cs="SimSun" w:hint="eastAsia"/>
          <w:color w:val="333333"/>
          <w:sz w:val="27"/>
          <w:szCs w:val="27"/>
        </w:rPr>
        <w:t>、</w:t>
      </w:r>
      <w:bookmarkStart w:id="0" w:name="_GoBack"/>
      <w:bookmarkEnd w:id="0"/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缅甸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可再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生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能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源协会与新加坡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可持续能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源协会等合力协办</w:t>
      </w:r>
      <w:r w:rsidR="00DF2BB0" w:rsidRPr="00971D52">
        <w:rPr>
          <w:rFonts w:ascii="SimSun" w:eastAsia="SimSun" w:hAnsi="SimSun" w:cs="SimSun" w:hint="eastAsia"/>
          <w:color w:val="333333"/>
          <w:sz w:val="27"/>
          <w:szCs w:val="27"/>
        </w:rPr>
        <w:t>、以及深获中国光伏行业协会鼎力支持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的</w:t>
      </w:r>
      <w:r w:rsidRPr="00971D52">
        <w:rPr>
          <w:rFonts w:ascii="Helvetica" w:eastAsia="Times New Roman" w:hAnsi="Helvetica" w:cs="Helvetica"/>
          <w:color w:val="333333"/>
          <w:sz w:val="27"/>
          <w:szCs w:val="27"/>
        </w:rPr>
        <w:t>201</w:t>
      </w:r>
      <w:r w:rsidRP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5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年缅甸绿色能源峰</w:t>
      </w:r>
      <w:r w:rsidR="00B639CE" w:rsidRPr="00971D52">
        <w:rPr>
          <w:rFonts w:ascii="SimSun" w:eastAsia="SimSun" w:hAnsi="SimSun" w:cs="SimSun" w:hint="eastAsia"/>
          <w:color w:val="333333"/>
          <w:sz w:val="27"/>
          <w:szCs w:val="27"/>
        </w:rPr>
        <w:t>将再一次假仰光司雷香格里拉大酒店举办，</w:t>
      </w:r>
      <w:r w:rsidR="00DC2D85" w:rsidRPr="00971D52">
        <w:rPr>
          <w:rFonts w:ascii="SimSun" w:eastAsia="SimSun" w:hAnsi="SimSun" w:cs="SimSun" w:hint="eastAsia"/>
          <w:color w:val="333333"/>
          <w:sz w:val="27"/>
          <w:szCs w:val="27"/>
        </w:rPr>
        <w:t>为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太阳能</w:t>
      </w:r>
      <w:r w:rsidR="00DC2D85" w:rsidRPr="00971D52">
        <w:rPr>
          <w:rFonts w:ascii="SimSun" w:eastAsia="SimSun" w:hAnsi="SimSun" w:cs="SimSun" w:hint="eastAsia"/>
          <w:color w:val="333333"/>
          <w:sz w:val="27"/>
          <w:szCs w:val="27"/>
        </w:rPr>
        <w:t>行业</w:t>
      </w:r>
      <w:r w:rsidR="00DC2D85" w:rsidRPr="00971D52">
        <w:rPr>
          <w:rFonts w:ascii="SimSun" w:eastAsia="SimSun" w:hAnsi="SimSun" w:cs="SimSun"/>
          <w:color w:val="333333"/>
          <w:sz w:val="27"/>
          <w:szCs w:val="27"/>
        </w:rPr>
        <w:t>领袖</w:t>
      </w:r>
      <w:r w:rsidR="00DC2D85" w:rsidRPr="00971D52">
        <w:rPr>
          <w:rFonts w:ascii="SimSun" w:eastAsia="SimSun" w:hAnsi="SimSun" w:cs="SimSun" w:hint="eastAsia"/>
          <w:color w:val="333333"/>
          <w:sz w:val="27"/>
          <w:szCs w:val="27"/>
        </w:rPr>
        <w:t>提供一个交流平台，以</w:t>
      </w:r>
      <w:r w:rsidR="00DC2D85" w:rsidRPr="00971D52">
        <w:rPr>
          <w:rFonts w:ascii="SimSun" w:eastAsia="SimSun" w:hAnsi="SimSun" w:cs="SimSun"/>
          <w:color w:val="333333"/>
          <w:sz w:val="27"/>
          <w:szCs w:val="27"/>
        </w:rPr>
        <w:t>探讨</w:t>
      </w:r>
      <w:r w:rsidR="00DC2D85" w:rsidRPr="00971D52">
        <w:rPr>
          <w:rFonts w:ascii="SimSun" w:eastAsia="SimSun" w:hAnsi="SimSun" w:cs="SimSun" w:hint="eastAsia"/>
          <w:color w:val="333333"/>
          <w:sz w:val="27"/>
          <w:szCs w:val="27"/>
        </w:rPr>
        <w:t>缅甸太阳能源市场潜力、</w:t>
      </w:r>
      <w:r w:rsidR="00DC2D85" w:rsidRPr="00971D52">
        <w:rPr>
          <w:rFonts w:ascii="SimSun" w:eastAsia="SimSun" w:hAnsi="SimSun" w:cs="SimSun"/>
          <w:color w:val="333333"/>
          <w:sz w:val="27"/>
          <w:szCs w:val="27"/>
        </w:rPr>
        <w:t>发展趋势</w:t>
      </w:r>
      <w:r w:rsidR="00DC2D85" w:rsidRPr="00971D52">
        <w:rPr>
          <w:rFonts w:ascii="SimSun" w:eastAsia="SimSun" w:hAnsi="SimSun" w:cs="SimSun" w:hint="eastAsia"/>
          <w:color w:val="333333"/>
          <w:sz w:val="27"/>
          <w:szCs w:val="27"/>
        </w:rPr>
        <w:t>和未来规划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。</w:t>
      </w:r>
    </w:p>
    <w:p w:rsidR="006D390A" w:rsidRDefault="006D390A" w:rsidP="00DF6F91">
      <w:pPr>
        <w:pStyle w:val="ParaAttribute5"/>
        <w:spacing w:line="276" w:lineRule="auto"/>
        <w:rPr>
          <w:rFonts w:asciiTheme="minorEastAsia" w:eastAsiaTheme="minorEastAsia" w:hAnsiTheme="minorEastAsia" w:cstheme="minorBidi"/>
          <w:kern w:val="2"/>
          <w:sz w:val="24"/>
          <w:szCs w:val="23"/>
          <w:lang w:val="en-US"/>
        </w:rPr>
      </w:pPr>
    </w:p>
    <w:p w:rsidR="00121F10" w:rsidRDefault="00121F10" w:rsidP="00121F10">
      <w:pPr>
        <w:pStyle w:val="NormalWeb"/>
        <w:shd w:val="clear" w:color="auto" w:fill="FFFFFF"/>
        <w:spacing w:before="0" w:beforeAutospacing="0" w:after="150" w:afterAutospacing="0" w:line="384" w:lineRule="atLeast"/>
        <w:ind w:firstLine="480"/>
        <w:jc w:val="both"/>
        <w:rPr>
          <w:rFonts w:ascii="SimSun" w:eastAsia="SimSun" w:hAnsi="SimSun" w:cs="SimSun"/>
          <w:color w:val="333333"/>
          <w:sz w:val="27"/>
          <w:szCs w:val="27"/>
        </w:rPr>
      </w:pPr>
      <w:r>
        <w:rPr>
          <w:rFonts w:ascii="SimSun" w:eastAsia="SimSun" w:hAnsi="SimSun" w:cs="SimSun" w:hint="eastAsia"/>
          <w:color w:val="333333"/>
          <w:sz w:val="27"/>
          <w:szCs w:val="27"/>
        </w:rPr>
        <w:t>由于旱季或降雨量下降的季节造成水资源不足，高度依赖水电的缅甸电力行业在</w:t>
      </w:r>
      <w:r w:rsidR="00340DF7">
        <w:rPr>
          <w:rFonts w:ascii="SimSun" w:eastAsia="SimSun" w:hAnsi="SimSun" w:cs="SimSun" w:hint="eastAsia"/>
          <w:color w:val="333333"/>
          <w:sz w:val="27"/>
          <w:szCs w:val="27"/>
        </w:rPr>
        <w:t>此段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时期的电力供应明显不够稳定。</w:t>
      </w:r>
    </w:p>
    <w:p w:rsidR="00CD79D0" w:rsidRDefault="00121F10" w:rsidP="00CD79D0">
      <w:pPr>
        <w:pStyle w:val="NormalWeb"/>
        <w:shd w:val="clear" w:color="auto" w:fill="FFFFFF"/>
        <w:spacing w:before="0" w:beforeAutospacing="0" w:after="150" w:afterAutospacing="0" w:line="384" w:lineRule="atLeast"/>
        <w:ind w:firstLine="480"/>
        <w:jc w:val="both"/>
        <w:rPr>
          <w:rFonts w:ascii="SimSun" w:eastAsia="SimSun" w:hAnsi="SimSun" w:cs="SimSun"/>
          <w:color w:val="333333"/>
          <w:sz w:val="27"/>
          <w:szCs w:val="27"/>
        </w:rPr>
      </w:pPr>
      <w:r>
        <w:rPr>
          <w:rFonts w:ascii="SimSun" w:eastAsia="SimSun" w:hAnsi="SimSun" w:cs="SimSun" w:hint="eastAsia"/>
          <w:color w:val="333333"/>
          <w:sz w:val="27"/>
          <w:szCs w:val="27"/>
        </w:rPr>
        <w:t>为尽快</w:t>
      </w:r>
      <w:r w:rsidRPr="00DF6F91">
        <w:rPr>
          <w:rFonts w:ascii="SimSun" w:eastAsia="SimSun" w:hAnsi="SimSun" w:cs="SimSun" w:hint="eastAsia"/>
          <w:color w:val="333333"/>
          <w:sz w:val="27"/>
          <w:szCs w:val="27"/>
        </w:rPr>
        <w:t>解决缅甸电力紧缺问题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，缅甸政府在电力节能挖潜的同时，还制定了一个</w:t>
      </w:r>
      <w:r>
        <w:rPr>
          <w:rFonts w:ascii="Helvetica" w:hAnsi="Helvetica" w:cs="Helvetica"/>
          <w:color w:val="333333"/>
          <w:sz w:val="27"/>
          <w:szCs w:val="27"/>
        </w:rPr>
        <w:t>15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年电力发展规划，目标是新建</w:t>
      </w:r>
      <w:r>
        <w:rPr>
          <w:rFonts w:ascii="Helvetica" w:hAnsi="Helvetica" w:cs="Helvetica"/>
          <w:color w:val="333333"/>
          <w:sz w:val="27"/>
          <w:szCs w:val="27"/>
        </w:rPr>
        <w:t>41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座发电厂</w:t>
      </w:r>
      <w:r w:rsidR="00340DF7">
        <w:rPr>
          <w:rFonts w:ascii="SimSun" w:eastAsia="SimSun" w:hAnsi="SimSun" w:cs="SimSun" w:hint="eastAsia"/>
          <w:color w:val="333333"/>
          <w:sz w:val="27"/>
          <w:szCs w:val="27"/>
        </w:rPr>
        <w:t>以在</w:t>
      </w:r>
      <w:r>
        <w:rPr>
          <w:rFonts w:ascii="Helvetica" w:hAnsi="Helvetica" w:cs="Helvetica"/>
          <w:color w:val="333333"/>
          <w:sz w:val="27"/>
          <w:szCs w:val="27"/>
        </w:rPr>
        <w:t>2031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年将全国发电量从现</w:t>
      </w:r>
      <w:r w:rsidR="00312C32">
        <w:rPr>
          <w:rFonts w:ascii="SimSun" w:eastAsia="SimSun" w:hAnsi="SimSun" w:cs="SimSun" w:hint="eastAsia"/>
          <w:color w:val="333333"/>
          <w:sz w:val="27"/>
          <w:szCs w:val="27"/>
        </w:rPr>
        <w:t>有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的</w:t>
      </w:r>
      <w:r>
        <w:rPr>
          <w:rFonts w:ascii="Helvetica" w:hAnsi="Helvetica" w:cs="Helvetica"/>
          <w:color w:val="333333"/>
          <w:sz w:val="27"/>
          <w:szCs w:val="27"/>
        </w:rPr>
        <w:t>4581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兆瓦增加到</w:t>
      </w:r>
      <w:r>
        <w:rPr>
          <w:rFonts w:ascii="Helvetica" w:hAnsi="Helvetica" w:cs="Helvetica"/>
          <w:color w:val="333333"/>
          <w:sz w:val="27"/>
          <w:szCs w:val="27"/>
        </w:rPr>
        <w:t>29</w:t>
      </w:r>
      <w:r w:rsidR="00971D52">
        <w:rPr>
          <w:rFonts w:ascii="Helvetica" w:eastAsiaTheme="minorEastAsia" w:hAnsi="Helvetica" w:cs="Helvetica" w:hint="eastAsi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t>000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兆瓦。</w:t>
      </w:r>
    </w:p>
    <w:p w:rsidR="00DF2BB0" w:rsidRDefault="00DF6F91" w:rsidP="00121F10">
      <w:pPr>
        <w:pStyle w:val="NormalWeb"/>
        <w:shd w:val="clear" w:color="auto" w:fill="FFFFFF"/>
        <w:spacing w:before="0" w:beforeAutospacing="0" w:after="150" w:afterAutospacing="0" w:line="384" w:lineRule="atLeast"/>
        <w:ind w:firstLine="480"/>
        <w:jc w:val="both"/>
        <w:rPr>
          <w:rFonts w:ascii="SimSun" w:eastAsia="SimSun" w:hAnsi="SimSun" w:cs="SimSun"/>
          <w:color w:val="333333"/>
          <w:sz w:val="27"/>
          <w:szCs w:val="27"/>
        </w:rPr>
      </w:pPr>
      <w:r>
        <w:rPr>
          <w:rFonts w:ascii="SimSun" w:eastAsia="SimSun" w:hAnsi="SimSun" w:cs="SimSun" w:hint="eastAsia"/>
          <w:color w:val="333333"/>
          <w:sz w:val="27"/>
          <w:szCs w:val="27"/>
        </w:rPr>
        <w:t>缅甸电力部长</w:t>
      </w:r>
      <w:r w:rsidRPr="00793BAE">
        <w:rPr>
          <w:rFonts w:ascii="Helvetica" w:hAnsi="Helvetica" w:cs="Helvetica"/>
          <w:color w:val="333333"/>
          <w:sz w:val="27"/>
          <w:szCs w:val="27"/>
        </w:rPr>
        <w:t>U Khin Maung Soe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表示，电力节能挖潜措施包括：提高现有发电厂的生产能力、减少老旧电网输电和配电中的电力损耗等。在新建电厂的建设中，政府将引导电力行业和投资者将注意力从煤炭、水力发电，扩大到天然气、太阳能、风能</w:t>
      </w:r>
      <w:r w:rsidR="00CD79D0">
        <w:rPr>
          <w:rFonts w:ascii="SimSun" w:eastAsia="SimSun" w:hAnsi="SimSun" w:cs="SimSun" w:hint="eastAsia"/>
          <w:color w:val="333333"/>
          <w:sz w:val="27"/>
          <w:szCs w:val="27"/>
        </w:rPr>
        <w:t>和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储能等其他新能源。</w:t>
      </w:r>
    </w:p>
    <w:p w:rsidR="00C17444" w:rsidRDefault="00C17444" w:rsidP="00121F10">
      <w:pPr>
        <w:pStyle w:val="NormalWeb"/>
        <w:shd w:val="clear" w:color="auto" w:fill="FFFFFF"/>
        <w:spacing w:before="0" w:beforeAutospacing="0" w:after="150" w:afterAutospacing="0" w:line="384" w:lineRule="atLeast"/>
        <w:ind w:firstLine="480"/>
        <w:jc w:val="both"/>
        <w:rPr>
          <w:rFonts w:ascii="SimSun" w:eastAsia="SimSun" w:hAnsi="SimSun" w:cs="SimSun"/>
          <w:color w:val="333333"/>
          <w:sz w:val="27"/>
          <w:szCs w:val="27"/>
        </w:rPr>
      </w:pPr>
      <w:r>
        <w:rPr>
          <w:rFonts w:ascii="SimSun" w:eastAsia="SimSun" w:hAnsi="SimSun" w:cs="SimSun" w:hint="eastAsia"/>
          <w:color w:val="333333"/>
          <w:sz w:val="27"/>
          <w:szCs w:val="27"/>
        </w:rPr>
        <w:t>据有关部门的统计数据，全国仅有</w:t>
      </w:r>
      <w:r>
        <w:rPr>
          <w:rFonts w:ascii="Helvetica" w:hAnsi="Helvetica" w:cs="Helvetica"/>
          <w:color w:val="333333"/>
          <w:sz w:val="27"/>
          <w:szCs w:val="27"/>
        </w:rPr>
        <w:t>3</w:t>
      </w:r>
      <w:r>
        <w:rPr>
          <w:rFonts w:ascii="Helvetica" w:eastAsiaTheme="minorEastAsia" w:hAnsi="Helvetica" w:cs="Helvetica" w:hint="eastAsia"/>
          <w:color w:val="333333"/>
          <w:sz w:val="27"/>
          <w:szCs w:val="27"/>
        </w:rPr>
        <w:t>0</w:t>
      </w:r>
      <w:r>
        <w:rPr>
          <w:rFonts w:ascii="Helvetica" w:hAnsi="Helvetica" w:cs="Helvetica"/>
          <w:color w:val="333333"/>
          <w:sz w:val="27"/>
          <w:szCs w:val="27"/>
        </w:rPr>
        <w:t>%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的人口能够</w:t>
      </w:r>
      <w:r w:rsidR="00DF2BB0">
        <w:rPr>
          <w:rFonts w:ascii="SimSun" w:eastAsia="SimSun" w:hAnsi="SimSun" w:cs="SimSun" w:hint="eastAsia"/>
          <w:color w:val="333333"/>
          <w:sz w:val="27"/>
          <w:szCs w:val="27"/>
        </w:rPr>
        <w:t>享用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电力供应。其余</w:t>
      </w:r>
      <w:r w:rsidR="00DF2BB0">
        <w:rPr>
          <w:rFonts w:ascii="SimSun" w:eastAsia="SimSun" w:hAnsi="SimSun" w:cs="SimSun" w:hint="eastAsia"/>
          <w:color w:val="333333"/>
          <w:sz w:val="27"/>
          <w:szCs w:val="27"/>
        </w:rPr>
        <w:t>无法接收电力供应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的</w:t>
      </w:r>
      <w:r w:rsidR="00DF2BB0" w:rsidRPr="003F784C">
        <w:rPr>
          <w:rFonts w:ascii="Helvetica" w:hAnsi="Helvetica" w:cs="Helvetica" w:hint="eastAsia"/>
          <w:color w:val="333333"/>
          <w:sz w:val="27"/>
          <w:szCs w:val="27"/>
        </w:rPr>
        <w:t>70%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人口都散布在乡间偏远地区。由此可见</w:t>
      </w:r>
      <w:r w:rsidR="00121F10">
        <w:rPr>
          <w:rFonts w:ascii="SimSun" w:eastAsia="SimSun" w:hAnsi="SimSun" w:cs="SimSun" w:hint="eastAsia"/>
          <w:color w:val="333333"/>
          <w:sz w:val="27"/>
          <w:szCs w:val="27"/>
        </w:rPr>
        <w:t>，离网式光伏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发电系统是解决缅甸偏远山区</w:t>
      </w:r>
      <w:r w:rsidRPr="00C17444">
        <w:rPr>
          <w:rFonts w:ascii="SimSun" w:eastAsia="SimSun" w:hAnsi="SimSun" w:cs="SimSun" w:hint="eastAsia"/>
          <w:color w:val="333333"/>
          <w:sz w:val="27"/>
          <w:szCs w:val="27"/>
        </w:rPr>
        <w:t>人烟稀少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对电力需求的最完美的解决方案。</w:t>
      </w:r>
    </w:p>
    <w:p w:rsidR="00C17444" w:rsidRDefault="00C17444" w:rsidP="00CD79D0">
      <w:pPr>
        <w:pStyle w:val="NormalWeb"/>
        <w:shd w:val="clear" w:color="auto" w:fill="FFFFFF"/>
        <w:spacing w:before="0" w:beforeAutospacing="0" w:after="150" w:afterAutospacing="0" w:line="384" w:lineRule="atLeast"/>
        <w:ind w:firstLine="480"/>
        <w:jc w:val="both"/>
        <w:rPr>
          <w:rFonts w:ascii="SimSun" w:eastAsia="SimSun" w:hAnsi="SimSun" w:cs="SimSun"/>
          <w:color w:val="333333"/>
          <w:sz w:val="27"/>
          <w:szCs w:val="27"/>
        </w:rPr>
      </w:pPr>
      <w:r w:rsidRPr="00CD79D0">
        <w:rPr>
          <w:rFonts w:ascii="SimSun" w:eastAsia="SimSun" w:hAnsi="SimSun" w:cs="SimSun" w:hint="eastAsia"/>
          <w:color w:val="333333"/>
          <w:sz w:val="27"/>
          <w:szCs w:val="27"/>
        </w:rPr>
        <w:tab/>
      </w:r>
      <w:r w:rsidRPr="00C17444">
        <w:rPr>
          <w:rFonts w:ascii="SimSun" w:eastAsia="SimSun" w:hAnsi="SimSun" w:cs="SimSun" w:hint="eastAsia"/>
          <w:color w:val="333333"/>
          <w:sz w:val="27"/>
          <w:szCs w:val="27"/>
        </w:rPr>
        <w:t>跟据研究报告指出，缅甸潜在太阳能每年能生产高达</w:t>
      </w:r>
      <w:r w:rsidRPr="00C17444">
        <w:rPr>
          <w:rFonts w:ascii="Helvetica" w:hAnsi="Helvetica" w:cs="Helvetica" w:hint="eastAsia"/>
          <w:color w:val="333333"/>
          <w:sz w:val="27"/>
          <w:szCs w:val="27"/>
        </w:rPr>
        <w:t>51</w:t>
      </w:r>
      <w:r w:rsidR="00971D52" w:rsidRPr="00971D52">
        <w:rPr>
          <w:rFonts w:ascii="Helvetica" w:hAnsi="Helvetica" w:cs="Helvetica" w:hint="eastAsia"/>
          <w:color w:val="333333"/>
          <w:sz w:val="27"/>
          <w:szCs w:val="27"/>
        </w:rPr>
        <w:t>,</w:t>
      </w:r>
      <w:r w:rsidRPr="00C17444">
        <w:rPr>
          <w:rFonts w:ascii="Helvetica" w:hAnsi="Helvetica" w:cs="Helvetica" w:hint="eastAsia"/>
          <w:color w:val="333333"/>
          <w:sz w:val="27"/>
          <w:szCs w:val="27"/>
        </w:rPr>
        <w:t>973.8</w:t>
      </w:r>
      <w:r>
        <w:rPr>
          <w:rFonts w:ascii="SimSun" w:eastAsia="SimSun" w:hAnsi="SimSun" w:cs="SimSun" w:hint="eastAsia"/>
          <w:color w:val="333333"/>
          <w:sz w:val="27"/>
          <w:szCs w:val="27"/>
        </w:rPr>
        <w:t>太瓦</w:t>
      </w:r>
      <w:r w:rsidR="00E437BC">
        <w:rPr>
          <w:rFonts w:ascii="SimSun" w:eastAsia="SimSun" w:hAnsi="SimSun" w:cs="SimSun" w:hint="eastAsia"/>
          <w:color w:val="333333"/>
          <w:sz w:val="27"/>
          <w:szCs w:val="27"/>
        </w:rPr>
        <w:t>，</w:t>
      </w:r>
      <w:r w:rsidR="00E437BC" w:rsidRPr="00E437BC">
        <w:rPr>
          <w:rFonts w:ascii="SimSun" w:eastAsia="SimSun" w:hAnsi="SimSun" w:cs="SimSun"/>
          <w:color w:val="333333"/>
          <w:sz w:val="27"/>
          <w:szCs w:val="27"/>
        </w:rPr>
        <w:t>平均每天</w:t>
      </w:r>
      <w:r w:rsidR="00E437BC" w:rsidRPr="00E437BC">
        <w:rPr>
          <w:rFonts w:ascii="SimSun" w:eastAsia="SimSun" w:hAnsi="SimSun" w:cs="SimSun" w:hint="eastAsia"/>
          <w:color w:val="333333"/>
          <w:sz w:val="27"/>
          <w:szCs w:val="27"/>
        </w:rPr>
        <w:t>超过</w:t>
      </w:r>
      <w:r w:rsidR="00793BAE" w:rsidRPr="003F784C">
        <w:rPr>
          <w:rFonts w:ascii="Helvetica" w:hAnsi="Helvetica" w:cs="Helvetica" w:hint="eastAsia"/>
          <w:color w:val="333333"/>
          <w:sz w:val="27"/>
          <w:szCs w:val="27"/>
        </w:rPr>
        <w:t>5</w:t>
      </w:r>
      <w:r w:rsidR="00793BAE">
        <w:rPr>
          <w:rFonts w:eastAsiaTheme="minorEastAsia" w:hint="eastAsia"/>
          <w:color w:val="333333"/>
          <w:sz w:val="27"/>
          <w:szCs w:val="27"/>
        </w:rPr>
        <w:t>个</w:t>
      </w:r>
      <w:r w:rsidR="00E437BC" w:rsidRPr="00E437BC">
        <w:rPr>
          <w:rFonts w:ascii="SimSun" w:eastAsia="SimSun" w:hAnsi="SimSun" w:cs="SimSun"/>
          <w:color w:val="333333"/>
          <w:sz w:val="27"/>
          <w:szCs w:val="27"/>
        </w:rPr>
        <w:t>小</w:t>
      </w:r>
      <w:r w:rsidR="00793BAE">
        <w:rPr>
          <w:rFonts w:ascii="SimSun" w:eastAsia="SimSun" w:hAnsi="SimSun" w:cs="SimSun" w:hint="eastAsia"/>
          <w:color w:val="333333"/>
          <w:sz w:val="27"/>
          <w:szCs w:val="27"/>
        </w:rPr>
        <w:t>时</w:t>
      </w:r>
      <w:r w:rsidR="00E437BC">
        <w:rPr>
          <w:rFonts w:asciiTheme="minorEastAsia" w:eastAsiaTheme="minorEastAsia" w:hAnsiTheme="minorEastAsia" w:hint="eastAsia"/>
          <w:color w:val="333333"/>
          <w:sz w:val="27"/>
          <w:szCs w:val="27"/>
        </w:rPr>
        <w:t>的</w:t>
      </w:r>
      <w:r w:rsidR="00E437BC" w:rsidRPr="00E437BC">
        <w:rPr>
          <w:rFonts w:ascii="SimSun" w:eastAsia="SimSun" w:hAnsi="SimSun" w:cs="SimSun"/>
          <w:color w:val="333333"/>
          <w:sz w:val="27"/>
          <w:szCs w:val="27"/>
        </w:rPr>
        <w:t>光照</w:t>
      </w:r>
      <w:r w:rsidR="00E437BC">
        <w:rPr>
          <w:rFonts w:ascii="SimSun" w:eastAsia="SimSun" w:hAnsi="SimSun" w:cs="SimSun" w:hint="eastAsia"/>
          <w:color w:val="333333"/>
          <w:sz w:val="27"/>
          <w:szCs w:val="27"/>
        </w:rPr>
        <w:t>时间很适合发展</w:t>
      </w:r>
      <w:r w:rsidR="00340DF7">
        <w:rPr>
          <w:rFonts w:ascii="SimSun" w:eastAsia="SimSun" w:hAnsi="SimSun" w:cs="SimSun" w:hint="eastAsia"/>
          <w:color w:val="333333"/>
          <w:sz w:val="27"/>
          <w:szCs w:val="27"/>
        </w:rPr>
        <w:t>民居</w:t>
      </w:r>
      <w:r w:rsidR="00E437BC">
        <w:rPr>
          <w:rFonts w:ascii="SimSun" w:eastAsia="SimSun" w:hAnsi="SimSun" w:cs="SimSun" w:hint="eastAsia"/>
          <w:color w:val="333333"/>
          <w:sz w:val="27"/>
          <w:szCs w:val="27"/>
        </w:rPr>
        <w:t>太阳能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。在干旱季节里，平均每天太阳</w:t>
      </w:r>
      <w:r w:rsidR="009374C0" w:rsidRPr="009374C0">
        <w:rPr>
          <w:rFonts w:ascii="SimSun" w:eastAsia="SimSun" w:hAnsi="SimSun" w:cs="SimSun"/>
          <w:color w:val="333333"/>
          <w:sz w:val="27"/>
          <w:szCs w:val="27"/>
        </w:rPr>
        <w:t>投射到地面上的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辐射</w:t>
      </w:r>
      <w:r w:rsidR="009374C0" w:rsidRPr="009374C0">
        <w:rPr>
          <w:rFonts w:ascii="SimSun" w:eastAsia="SimSun" w:hAnsi="SimSun" w:cs="SimSun" w:hint="eastAsia"/>
          <w:color w:val="333333"/>
          <w:sz w:val="27"/>
          <w:szCs w:val="27"/>
        </w:rPr>
        <w:t>能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量是能达到</w:t>
      </w:r>
      <w:r w:rsidR="00F4012C">
        <w:rPr>
          <w:rFonts w:ascii="SimSun" w:eastAsia="SimSun" w:hAnsi="SimSun" w:cs="SimSun" w:hint="eastAsia"/>
          <w:color w:val="333333"/>
          <w:sz w:val="27"/>
          <w:szCs w:val="27"/>
        </w:rPr>
        <w:t>每平方米</w:t>
      </w:r>
      <w:r w:rsidR="009374C0" w:rsidRPr="003F784C">
        <w:rPr>
          <w:rFonts w:ascii="Helvetica" w:hAnsi="Helvetica" w:cs="Helvetica" w:hint="eastAsia"/>
          <w:color w:val="333333"/>
          <w:sz w:val="27"/>
          <w:szCs w:val="27"/>
        </w:rPr>
        <w:t>5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千瓦</w:t>
      </w:r>
      <w:r w:rsidR="00F308C5">
        <w:rPr>
          <w:rFonts w:ascii="SimSun" w:eastAsia="SimSun" w:hAnsi="SimSun" w:cs="SimSun" w:hint="eastAsia"/>
          <w:color w:val="333333"/>
          <w:sz w:val="27"/>
          <w:szCs w:val="27"/>
        </w:rPr>
        <w:t>/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小时；</w:t>
      </w:r>
      <w:r w:rsidR="00F4012C">
        <w:rPr>
          <w:rFonts w:ascii="SimSun" w:eastAsia="SimSun" w:hAnsi="SimSun" w:cs="SimSun" w:hint="eastAsia"/>
          <w:color w:val="333333"/>
          <w:sz w:val="27"/>
          <w:szCs w:val="27"/>
        </w:rPr>
        <w:t>而</w:t>
      </w:r>
      <w:r w:rsidR="00F4012C" w:rsidRPr="00F308C5">
        <w:rPr>
          <w:rFonts w:ascii="SimSun" w:eastAsia="SimSun" w:hAnsi="SimSun" w:cs="SimSun" w:hint="eastAsia"/>
          <w:color w:val="333333"/>
          <w:sz w:val="27"/>
          <w:szCs w:val="27"/>
        </w:rPr>
        <w:t>在</w:t>
      </w:r>
      <w:r w:rsidR="009374C0" w:rsidRPr="00F308C5">
        <w:rPr>
          <w:rFonts w:ascii="SimSun" w:eastAsia="SimSun" w:hAnsi="SimSun" w:cs="SimSun" w:hint="eastAsia"/>
          <w:color w:val="333333"/>
          <w:sz w:val="27"/>
          <w:szCs w:val="27"/>
        </w:rPr>
        <w:t>缅甸最北部</w:t>
      </w:r>
      <w:r w:rsidR="00F308C5">
        <w:rPr>
          <w:rFonts w:ascii="SimSun" w:eastAsia="SimSun" w:hAnsi="SimSun" w:cs="SimSun" w:hint="eastAsia"/>
          <w:color w:val="333333"/>
          <w:sz w:val="27"/>
          <w:szCs w:val="27"/>
        </w:rPr>
        <w:t>以及</w:t>
      </w:r>
      <w:r w:rsidR="009374C0" w:rsidRPr="00F308C5">
        <w:rPr>
          <w:rFonts w:ascii="SimSun" w:eastAsia="SimSun" w:hAnsi="SimSun" w:cs="SimSun" w:hint="eastAsia"/>
          <w:color w:val="333333"/>
          <w:sz w:val="27"/>
          <w:szCs w:val="27"/>
        </w:rPr>
        <w:t>南部地区</w:t>
      </w:r>
      <w:r w:rsidR="00F4012C">
        <w:rPr>
          <w:rFonts w:ascii="SimSun" w:eastAsia="SimSun" w:hAnsi="SimSun" w:cs="SimSun" w:hint="eastAsia"/>
          <w:color w:val="333333"/>
          <w:sz w:val="27"/>
          <w:szCs w:val="27"/>
        </w:rPr>
        <w:t>较为低</w:t>
      </w:r>
      <w:r w:rsidR="009374C0" w:rsidRPr="00F308C5">
        <w:rPr>
          <w:rFonts w:ascii="SimSun" w:eastAsia="SimSun" w:hAnsi="SimSun" w:cs="SimSun" w:hint="eastAsia"/>
          <w:color w:val="333333"/>
          <w:sz w:val="27"/>
          <w:szCs w:val="27"/>
        </w:rPr>
        <w:t>，每天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太阳辐射</w:t>
      </w:r>
      <w:r w:rsidR="009374C0" w:rsidRPr="009374C0">
        <w:rPr>
          <w:rFonts w:ascii="SimSun" w:eastAsia="SimSun" w:hAnsi="SimSun" w:cs="SimSun" w:hint="eastAsia"/>
          <w:color w:val="333333"/>
          <w:sz w:val="27"/>
          <w:szCs w:val="27"/>
        </w:rPr>
        <w:t>能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量大约在</w:t>
      </w:r>
      <w:r w:rsidR="00F308C5">
        <w:rPr>
          <w:rFonts w:ascii="SimSun" w:eastAsia="SimSun" w:hAnsi="SimSun" w:cs="SimSun" w:hint="eastAsia"/>
          <w:color w:val="333333"/>
          <w:sz w:val="27"/>
          <w:szCs w:val="27"/>
        </w:rPr>
        <w:t>每平方米</w:t>
      </w:r>
      <w:r w:rsidR="009374C0" w:rsidRPr="003F784C">
        <w:rPr>
          <w:rFonts w:ascii="Helvetica" w:hAnsi="Helvetica" w:cs="Helvetica" w:hint="eastAsia"/>
          <w:color w:val="333333"/>
          <w:sz w:val="27"/>
          <w:szCs w:val="27"/>
        </w:rPr>
        <w:t>2.3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 xml:space="preserve"> </w:t>
      </w:r>
      <w:r w:rsidR="009374C0" w:rsidRPr="003F784C">
        <w:rPr>
          <w:rFonts w:ascii="Helvetica" w:hAnsi="Helvetica" w:cs="Helvetica"/>
          <w:color w:val="333333"/>
          <w:sz w:val="27"/>
          <w:szCs w:val="27"/>
        </w:rPr>
        <w:t>–</w:t>
      </w:r>
      <w:r w:rsidR="009374C0" w:rsidRPr="003F784C">
        <w:rPr>
          <w:rFonts w:ascii="Helvetica" w:hAnsi="Helvetica" w:cs="Helvetica" w:hint="eastAsia"/>
          <w:color w:val="333333"/>
          <w:sz w:val="27"/>
          <w:szCs w:val="27"/>
        </w:rPr>
        <w:t xml:space="preserve"> 3.2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 xml:space="preserve"> 千瓦</w:t>
      </w:r>
      <w:r w:rsidR="00F308C5">
        <w:rPr>
          <w:rFonts w:ascii="SimSun" w:eastAsia="SimSun" w:hAnsi="SimSun" w:cs="SimSun" w:hint="eastAsia"/>
          <w:color w:val="333333"/>
          <w:sz w:val="27"/>
          <w:szCs w:val="27"/>
        </w:rPr>
        <w:t>/</w:t>
      </w:r>
      <w:r w:rsidR="009374C0">
        <w:rPr>
          <w:rFonts w:ascii="SimSun" w:eastAsia="SimSun" w:hAnsi="SimSun" w:cs="SimSun" w:hint="eastAsia"/>
          <w:color w:val="333333"/>
          <w:sz w:val="27"/>
          <w:szCs w:val="27"/>
        </w:rPr>
        <w:t>小时；</w:t>
      </w:r>
      <w:r w:rsidR="00F4012C">
        <w:rPr>
          <w:rFonts w:ascii="SimSun" w:eastAsia="SimSun" w:hAnsi="SimSun" w:cs="SimSun" w:hint="eastAsia"/>
          <w:color w:val="333333"/>
          <w:sz w:val="27"/>
          <w:szCs w:val="27"/>
        </w:rPr>
        <w:t>其他多数地区，包括中部则拥有足够高辐射</w:t>
      </w:r>
      <w:r w:rsidR="00F4012C" w:rsidRPr="009374C0">
        <w:rPr>
          <w:rFonts w:ascii="SimSun" w:eastAsia="SimSun" w:hAnsi="SimSun" w:cs="SimSun" w:hint="eastAsia"/>
          <w:color w:val="333333"/>
          <w:sz w:val="27"/>
          <w:szCs w:val="27"/>
        </w:rPr>
        <w:t>能</w:t>
      </w:r>
      <w:r w:rsidR="00F4012C">
        <w:rPr>
          <w:rFonts w:ascii="SimSun" w:eastAsia="SimSun" w:hAnsi="SimSun" w:cs="SimSun" w:hint="eastAsia"/>
          <w:color w:val="333333"/>
          <w:sz w:val="27"/>
          <w:szCs w:val="27"/>
        </w:rPr>
        <w:t>量，大约是每平方米</w:t>
      </w:r>
      <w:r w:rsidR="00F4012C" w:rsidRPr="003F784C">
        <w:rPr>
          <w:rFonts w:ascii="Helvetica" w:hAnsi="Helvetica" w:cs="Helvetica" w:hint="eastAsia"/>
          <w:color w:val="333333"/>
          <w:sz w:val="27"/>
          <w:szCs w:val="27"/>
        </w:rPr>
        <w:t xml:space="preserve">3.6 </w:t>
      </w:r>
      <w:r w:rsidR="00F4012C" w:rsidRPr="003F784C">
        <w:rPr>
          <w:rFonts w:ascii="Helvetica" w:hAnsi="Helvetica" w:cs="Helvetica"/>
          <w:color w:val="333333"/>
          <w:sz w:val="27"/>
          <w:szCs w:val="27"/>
        </w:rPr>
        <w:t>–</w:t>
      </w:r>
      <w:r w:rsidR="00F4012C" w:rsidRPr="003F784C">
        <w:rPr>
          <w:rFonts w:ascii="Helvetica" w:hAnsi="Helvetica" w:cs="Helvetica" w:hint="eastAsia"/>
          <w:color w:val="333333"/>
          <w:sz w:val="27"/>
          <w:szCs w:val="27"/>
        </w:rPr>
        <w:t xml:space="preserve"> 5.2</w:t>
      </w:r>
      <w:r w:rsidR="00F4012C">
        <w:rPr>
          <w:rFonts w:ascii="SimSun" w:eastAsia="SimSun" w:hAnsi="SimSun" w:cs="SimSun" w:hint="eastAsia"/>
          <w:color w:val="333333"/>
          <w:sz w:val="27"/>
          <w:szCs w:val="27"/>
        </w:rPr>
        <w:t xml:space="preserve"> 千瓦/</w:t>
      </w:r>
      <w:r w:rsidR="00971D52">
        <w:rPr>
          <w:rFonts w:ascii="SimSun" w:eastAsia="SimSun" w:hAnsi="SimSun" w:cs="SimSun" w:hint="eastAsia"/>
          <w:color w:val="333333"/>
          <w:sz w:val="27"/>
          <w:szCs w:val="27"/>
        </w:rPr>
        <w:t>小时。</w:t>
      </w:r>
    </w:p>
    <w:p w:rsidR="00E437BC" w:rsidRDefault="00E437BC" w:rsidP="00DF6F91">
      <w:pPr>
        <w:pStyle w:val="ParaAttribute5"/>
        <w:spacing w:line="276" w:lineRule="auto"/>
        <w:rPr>
          <w:rFonts w:asciiTheme="minorEastAsia" w:eastAsiaTheme="minorEastAsia" w:hAnsiTheme="minorEastAsia" w:cstheme="minorBidi"/>
          <w:kern w:val="2"/>
          <w:sz w:val="24"/>
          <w:szCs w:val="23"/>
          <w:lang w:val="en-US"/>
        </w:rPr>
      </w:pPr>
    </w:p>
    <w:p w:rsidR="00154D38" w:rsidRDefault="006D390A" w:rsidP="00154D38">
      <w:pPr>
        <w:rPr>
          <w:rFonts w:ascii="SimSun" w:eastAsia="SimSun" w:hAnsi="SimSun" w:cs="SimSun"/>
          <w:color w:val="33333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080D5206" wp14:editId="021055F3">
            <wp:extent cx="3562350" cy="230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92" t="22781" r="17972" b="5587"/>
                    <a:stretch/>
                  </pic:blipFill>
                  <pic:spPr bwMode="auto">
                    <a:xfrm>
                      <a:off x="0" y="0"/>
                      <a:ext cx="3567036" cy="230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D38">
        <w:rPr>
          <w:rFonts w:ascii="SimSun" w:eastAsia="SimSun" w:hAnsi="SimSun" w:cs="SimSun" w:hint="eastAsia"/>
          <w:color w:val="333333"/>
          <w:sz w:val="27"/>
          <w:szCs w:val="27"/>
        </w:rPr>
        <w:t>缅甸每个月太阳辐射</w:t>
      </w:r>
      <w:r w:rsidR="00154D38" w:rsidRPr="009374C0">
        <w:rPr>
          <w:rFonts w:ascii="SimSun" w:eastAsia="SimSun" w:hAnsi="SimSun" w:cs="SimSun" w:hint="eastAsia"/>
          <w:color w:val="333333"/>
          <w:sz w:val="27"/>
          <w:szCs w:val="27"/>
        </w:rPr>
        <w:t>能</w:t>
      </w:r>
      <w:r w:rsidR="00154D38">
        <w:rPr>
          <w:rFonts w:ascii="SimSun" w:eastAsia="SimSun" w:hAnsi="SimSun" w:cs="SimSun" w:hint="eastAsia"/>
          <w:color w:val="333333"/>
          <w:sz w:val="27"/>
          <w:szCs w:val="27"/>
        </w:rPr>
        <w:t>量</w:t>
      </w:r>
    </w:p>
    <w:p w:rsidR="003F784C" w:rsidRDefault="00CF1F63" w:rsidP="00154D38">
      <w:pPr>
        <w:rPr>
          <w:rFonts w:ascii="SimSun" w:eastAsia="SimSun" w:hAnsi="SimSun" w:cs="SimSun"/>
          <w:color w:val="333333"/>
          <w:sz w:val="27"/>
          <w:szCs w:val="27"/>
        </w:rPr>
      </w:pPr>
      <w:hyperlink r:id="rId7" w:history="1">
        <w:r w:rsidR="003F784C" w:rsidRPr="003F784C">
          <w:rPr>
            <w:color w:val="333333"/>
          </w:rPr>
          <w:t>http://mges2015-solar.confexhub.com/images/MGES2015-Myanmar-Monthly-Solar-Radiation.jpg</w:t>
        </w:r>
      </w:hyperlink>
      <w:r w:rsidR="003F784C">
        <w:rPr>
          <w:rFonts w:ascii="SimSun" w:eastAsia="SimSun" w:hAnsi="SimSun" w:cs="SimSun"/>
          <w:color w:val="333333"/>
          <w:sz w:val="27"/>
          <w:szCs w:val="27"/>
        </w:rPr>
        <w:t xml:space="preserve"> </w:t>
      </w:r>
    </w:p>
    <w:p w:rsidR="00E437BC" w:rsidRDefault="00154D38" w:rsidP="00DF6F91">
      <w:pPr>
        <w:rPr>
          <w:rFonts w:ascii="SimSun" w:eastAsia="SimSun" w:hAnsi="SimSun" w:cs="SimSun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1493D451" wp14:editId="1B635806">
            <wp:extent cx="3903293" cy="13369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121" t="28106" r="23464" b="38741"/>
                    <a:stretch/>
                  </pic:blipFill>
                  <pic:spPr bwMode="auto">
                    <a:xfrm>
                      <a:off x="0" y="0"/>
                      <a:ext cx="3908483" cy="1338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D38" w:rsidRDefault="00E437BC" w:rsidP="00154D38">
      <w:pPr>
        <w:rPr>
          <w:rFonts w:ascii="SimSun" w:eastAsia="SimSun" w:hAnsi="SimSun" w:cs="SimSun"/>
          <w:color w:val="333333"/>
          <w:sz w:val="27"/>
          <w:szCs w:val="27"/>
        </w:rPr>
      </w:pPr>
      <w:r w:rsidRPr="00DF6F91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="00312C32">
        <w:rPr>
          <w:rFonts w:ascii="SimSun" w:eastAsia="SimSun" w:hAnsi="SimSun" w:cs="SimSun" w:hint="eastAsia"/>
          <w:color w:val="333333"/>
          <w:sz w:val="27"/>
          <w:szCs w:val="27"/>
        </w:rPr>
        <w:t>缅甸相比于</w:t>
      </w:r>
      <w:r w:rsidR="00154D38">
        <w:rPr>
          <w:rFonts w:ascii="SimSun" w:eastAsia="SimSun" w:hAnsi="SimSun" w:cs="SimSun" w:hint="eastAsia"/>
          <w:color w:val="333333"/>
          <w:sz w:val="27"/>
          <w:szCs w:val="27"/>
        </w:rPr>
        <w:t>其他国家的太阳辐射</w:t>
      </w:r>
      <w:r w:rsidR="00154D38" w:rsidRPr="009374C0">
        <w:rPr>
          <w:rFonts w:ascii="SimSun" w:eastAsia="SimSun" w:hAnsi="SimSun" w:cs="SimSun" w:hint="eastAsia"/>
          <w:color w:val="333333"/>
          <w:sz w:val="27"/>
          <w:szCs w:val="27"/>
        </w:rPr>
        <w:t>能</w:t>
      </w:r>
      <w:r w:rsidR="00154D38">
        <w:rPr>
          <w:rFonts w:ascii="SimSun" w:eastAsia="SimSun" w:hAnsi="SimSun" w:cs="SimSun" w:hint="eastAsia"/>
          <w:color w:val="333333"/>
          <w:sz w:val="27"/>
          <w:szCs w:val="27"/>
        </w:rPr>
        <w:t>量</w:t>
      </w:r>
    </w:p>
    <w:p w:rsidR="003F784C" w:rsidRPr="003F784C" w:rsidRDefault="00CF1F63" w:rsidP="00154D38">
      <w:pPr>
        <w:rPr>
          <w:color w:val="333333"/>
        </w:rPr>
      </w:pPr>
      <w:hyperlink r:id="rId9" w:history="1">
        <w:r w:rsidR="003F784C" w:rsidRPr="003F784C">
          <w:rPr>
            <w:color w:val="333333"/>
          </w:rPr>
          <w:t>http://mges2015-solar.confexhub.com/images/MGES2015-Myanmar-Radiation-Compare-to-Other-Country.jpg</w:t>
        </w:r>
      </w:hyperlink>
      <w:r w:rsidR="00971D52">
        <w:rPr>
          <w:rFonts w:hint="eastAsia"/>
          <w:color w:val="333333"/>
        </w:rPr>
        <w:t xml:space="preserve"> </w:t>
      </w:r>
      <w:r w:rsidR="003F784C" w:rsidRPr="003F784C">
        <w:rPr>
          <w:color w:val="333333"/>
        </w:rPr>
        <w:t xml:space="preserve"> </w:t>
      </w:r>
    </w:p>
    <w:p w:rsidR="00E437BC" w:rsidRPr="00DF6F91" w:rsidRDefault="00E437BC" w:rsidP="00E437B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7E09D5" w:rsidRPr="00154D38" w:rsidRDefault="007E09D5" w:rsidP="00DF6F91">
      <w:pPr>
        <w:rPr>
          <w:rFonts w:ascii="SimSun" w:eastAsia="SimSun" w:hAnsi="SimSun" w:cs="SimSun"/>
          <w:color w:val="333333"/>
          <w:sz w:val="27"/>
          <w:szCs w:val="27"/>
        </w:rPr>
      </w:pPr>
      <w:r w:rsidRP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2013</w:t>
      </w:r>
      <w:r w:rsidRPr="00154D38">
        <w:rPr>
          <w:rFonts w:ascii="SimSun" w:eastAsia="SimSun" w:hAnsi="SimSun" w:cs="SimSun" w:hint="eastAsia"/>
          <w:color w:val="333333"/>
          <w:sz w:val="27"/>
          <w:szCs w:val="27"/>
        </w:rPr>
        <w:t>年财务报告指出，缅甸</w:t>
      </w:r>
      <w:r w:rsidRPr="00154D38">
        <w:rPr>
          <w:rFonts w:ascii="SimSun" w:eastAsia="SimSun" w:hAnsi="SimSun" w:cs="SimSun"/>
          <w:color w:val="333333"/>
          <w:sz w:val="27"/>
          <w:szCs w:val="27"/>
        </w:rPr>
        <w:t>边境事务</w:t>
      </w:r>
      <w:r w:rsidRPr="00154D38">
        <w:rPr>
          <w:rFonts w:ascii="SimSun" w:eastAsia="SimSun" w:hAnsi="SimSun" w:cs="SimSun" w:hint="eastAsia"/>
          <w:color w:val="333333"/>
          <w:sz w:val="27"/>
          <w:szCs w:val="27"/>
        </w:rPr>
        <w:t>局的</w:t>
      </w:r>
      <w:r w:rsidR="006D390A" w:rsidRPr="00154D38">
        <w:rPr>
          <w:rFonts w:ascii="SimSun" w:eastAsia="SimSun" w:hAnsi="SimSun" w:cs="SimSun" w:hint="eastAsia"/>
          <w:color w:val="333333"/>
          <w:sz w:val="27"/>
          <w:szCs w:val="27"/>
        </w:rPr>
        <w:t>农村电气化部</w:t>
      </w:r>
      <w:r w:rsidRPr="00154D38">
        <w:rPr>
          <w:rFonts w:ascii="SimSun" w:eastAsia="SimSun" w:hAnsi="SimSun" w:cs="SimSun" w:hint="eastAsia"/>
          <w:color w:val="333333"/>
          <w:sz w:val="27"/>
          <w:szCs w:val="27"/>
        </w:rPr>
        <w:t>已实施</w:t>
      </w:r>
      <w:r w:rsidR="00E41B85" w:rsidRPr="00154D38">
        <w:rPr>
          <w:rFonts w:ascii="SimSun" w:eastAsia="SimSun" w:hAnsi="SimSun" w:cs="SimSun" w:hint="eastAsia"/>
          <w:color w:val="333333"/>
          <w:sz w:val="27"/>
          <w:szCs w:val="27"/>
        </w:rPr>
        <w:t>建设</w:t>
      </w:r>
      <w:r w:rsid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17</w:t>
      </w:r>
      <w:proofErr w:type="gramStart"/>
      <w:r w:rsid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,</w:t>
      </w:r>
      <w:r w:rsidRP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600</w:t>
      </w:r>
      <w:proofErr w:type="gramEnd"/>
      <w:r w:rsidRPr="00154D38">
        <w:rPr>
          <w:rFonts w:ascii="SimSun" w:eastAsia="SimSun" w:hAnsi="SimSun" w:cs="SimSun" w:hint="eastAsia"/>
          <w:color w:val="333333"/>
          <w:sz w:val="27"/>
          <w:szCs w:val="27"/>
        </w:rPr>
        <w:t xml:space="preserve"> 家</w:t>
      </w:r>
      <w:r w:rsidR="00E41B85" w:rsidRPr="00154D38">
        <w:rPr>
          <w:rFonts w:ascii="SimSun" w:eastAsia="SimSun" w:hAnsi="SimSun" w:cs="SimSun" w:hint="eastAsia"/>
          <w:color w:val="333333"/>
          <w:sz w:val="27"/>
          <w:szCs w:val="27"/>
        </w:rPr>
        <w:t>用</w:t>
      </w:r>
      <w:r w:rsidRPr="00154D38">
        <w:rPr>
          <w:rFonts w:ascii="SimSun" w:eastAsia="SimSun" w:hAnsi="SimSun" w:cs="SimSun" w:hint="eastAsia"/>
          <w:color w:val="333333"/>
          <w:sz w:val="27"/>
          <w:szCs w:val="27"/>
        </w:rPr>
        <w:t>太阳能发电系统。而</w:t>
      </w:r>
      <w:r w:rsidR="00E41B85" w:rsidRPr="00154D38">
        <w:rPr>
          <w:rFonts w:ascii="SimSun" w:eastAsia="SimSun" w:hAnsi="SimSun" w:cs="SimSun" w:hint="eastAsia"/>
          <w:color w:val="333333"/>
          <w:sz w:val="27"/>
          <w:szCs w:val="27"/>
        </w:rPr>
        <w:t>在</w:t>
      </w:r>
      <w:r w:rsidR="00E41B85" w:rsidRP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2014</w:t>
      </w:r>
      <w:r w:rsidR="00E41B85" w:rsidRPr="00154D38">
        <w:rPr>
          <w:rFonts w:ascii="SimSun" w:eastAsia="SimSun" w:hAnsi="SimSun" w:cs="SimSun" w:hint="eastAsia"/>
          <w:color w:val="333333"/>
          <w:sz w:val="27"/>
          <w:szCs w:val="27"/>
        </w:rPr>
        <w:t>年财务报告里</w:t>
      </w:r>
      <w:r w:rsidRPr="00154D38">
        <w:rPr>
          <w:rFonts w:ascii="SimSun" w:eastAsia="SimSun" w:hAnsi="SimSun" w:cs="SimSun" w:hint="eastAsia"/>
          <w:color w:val="333333"/>
          <w:sz w:val="27"/>
          <w:szCs w:val="27"/>
        </w:rPr>
        <w:t>，</w:t>
      </w:r>
      <w:r w:rsidR="00E41B85" w:rsidRPr="00154D38">
        <w:rPr>
          <w:rFonts w:ascii="SimSun" w:eastAsia="SimSun" w:hAnsi="SimSun" w:cs="SimSun" w:hint="eastAsia"/>
          <w:color w:val="333333"/>
          <w:sz w:val="27"/>
          <w:szCs w:val="27"/>
        </w:rPr>
        <w:t>政府将执行另外</w:t>
      </w:r>
      <w:r w:rsidR="00E41B85" w:rsidRP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13,600</w:t>
      </w:r>
      <w:r w:rsidR="00E41B85" w:rsidRPr="00154D38">
        <w:rPr>
          <w:rFonts w:ascii="SimSun" w:eastAsia="SimSun" w:hAnsi="SimSun" w:cs="SimSun" w:hint="eastAsia"/>
          <w:color w:val="333333"/>
          <w:sz w:val="27"/>
          <w:szCs w:val="27"/>
        </w:rPr>
        <w:t>家用太阳能发电系统项目。</w:t>
      </w:r>
    </w:p>
    <w:p w:rsidR="006D390A" w:rsidRPr="00971D52" w:rsidRDefault="006D390A" w:rsidP="006D390A">
      <w:pPr>
        <w:rPr>
          <w:rFonts w:ascii="SimSun" w:eastAsia="SimSun" w:hAnsi="SimSun" w:cs="SimSun"/>
          <w:color w:val="333333"/>
          <w:sz w:val="27"/>
          <w:szCs w:val="27"/>
        </w:rPr>
      </w:pPr>
      <w:r w:rsidRPr="00971D52">
        <w:rPr>
          <w:rFonts w:ascii="Helvetica" w:eastAsia="Times New Roman" w:hAnsi="Helvetica" w:cs="Helvetica"/>
          <w:color w:val="333333"/>
          <w:sz w:val="27"/>
          <w:szCs w:val="27"/>
        </w:rPr>
        <w:t>201</w:t>
      </w:r>
      <w:r w:rsidRP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5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年缅甸绿色能源峰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聚集了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来自全球</w:t>
      </w:r>
      <w:r w:rsidRPr="00971D52">
        <w:rPr>
          <w:rFonts w:ascii="Helvetica" w:eastAsia="Times New Roman" w:hAnsi="Helvetica" w:cs="Helvetica" w:hint="eastAsia"/>
          <w:color w:val="333333"/>
          <w:sz w:val="27"/>
          <w:szCs w:val="27"/>
        </w:rPr>
        <w:t>2</w:t>
      </w:r>
      <w:r w:rsidRPr="00971D52">
        <w:rPr>
          <w:rFonts w:ascii="Helvetica" w:eastAsia="Times New Roman" w:hAnsi="Helvetica" w:cs="Helvetica"/>
          <w:color w:val="333333"/>
          <w:sz w:val="27"/>
          <w:szCs w:val="27"/>
        </w:rPr>
        <w:t>0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 xml:space="preserve"> 多个国家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， 数百位绿色能源行业专家、顾问、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业界领袖、政府决策者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、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全球投资者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、金融家以及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相关机构代表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等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共同探讨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缅甸电力以及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绿色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能源市场潜力、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发展趋势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和未来规划，以加强维护缅甸能源资源与其持久性。</w:t>
      </w:r>
      <w:r w:rsidR="00154D38" w:rsidRPr="00971D52">
        <w:rPr>
          <w:rFonts w:ascii="SimSun" w:eastAsia="SimSun" w:hAnsi="SimSun" w:cs="SimSun" w:hint="eastAsia"/>
          <w:color w:val="333333"/>
          <w:sz w:val="27"/>
          <w:szCs w:val="27"/>
        </w:rPr>
        <w:t>我们相信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所有会员们将会在此会获益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匪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浅，其中包括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:</w:t>
      </w:r>
    </w:p>
    <w:p w:rsidR="006D390A" w:rsidRPr="00971D52" w:rsidRDefault="006D390A" w:rsidP="00971D52">
      <w:pPr>
        <w:pStyle w:val="ListParagraph"/>
        <w:numPr>
          <w:ilvl w:val="0"/>
          <w:numId w:val="5"/>
        </w:numPr>
        <w:rPr>
          <w:rFonts w:ascii="SimSun" w:hAnsi="SimSun" w:cs="SimSun"/>
          <w:color w:val="333333"/>
          <w:sz w:val="27"/>
          <w:szCs w:val="27"/>
        </w:rPr>
      </w:pPr>
      <w:r w:rsidRPr="00971D52">
        <w:rPr>
          <w:rFonts w:ascii="SimSun" w:hAnsi="SimSun" w:cs="SimSun" w:hint="eastAsia"/>
          <w:color w:val="333333"/>
          <w:sz w:val="27"/>
          <w:szCs w:val="27"/>
        </w:rPr>
        <w:t>获取缅甸第一手情报以</w:t>
      </w:r>
      <w:r w:rsidRPr="00971D52">
        <w:rPr>
          <w:rFonts w:ascii="SimSun" w:hAnsi="SimSun" w:cs="SimSun"/>
          <w:color w:val="333333"/>
          <w:sz w:val="27"/>
          <w:szCs w:val="27"/>
        </w:rPr>
        <w:t>及</w:t>
      </w:r>
      <w:r w:rsidRPr="00971D52">
        <w:rPr>
          <w:rFonts w:ascii="SimSun" w:hAnsi="SimSun" w:cs="SimSun" w:hint="eastAsia"/>
          <w:color w:val="333333"/>
          <w:sz w:val="27"/>
          <w:szCs w:val="27"/>
        </w:rPr>
        <w:t>独家</w:t>
      </w:r>
      <w:r w:rsidRPr="00971D52">
        <w:rPr>
          <w:rFonts w:ascii="SimSun" w:hAnsi="SimSun" w:cs="SimSun"/>
          <w:color w:val="333333"/>
          <w:sz w:val="27"/>
          <w:szCs w:val="27"/>
        </w:rPr>
        <w:t>前沿观点：</w:t>
      </w:r>
      <w:r w:rsidRPr="00971D52">
        <w:rPr>
          <w:rFonts w:ascii="SimSun" w:hAnsi="SimSun" w:cs="SimSun" w:hint="eastAsia"/>
          <w:color w:val="333333"/>
          <w:sz w:val="27"/>
          <w:szCs w:val="27"/>
        </w:rPr>
        <w:t xml:space="preserve"> 缅甸</w:t>
      </w:r>
      <w:r w:rsidRPr="00971D52">
        <w:rPr>
          <w:rFonts w:ascii="SimSun" w:hAnsi="SimSun" w:cs="SimSun"/>
          <w:color w:val="333333"/>
          <w:sz w:val="27"/>
          <w:szCs w:val="27"/>
        </w:rPr>
        <w:t>前景展望</w:t>
      </w:r>
      <w:r w:rsidRPr="00971D52">
        <w:rPr>
          <w:rFonts w:ascii="SimSun" w:hAnsi="SimSun" w:cs="SimSun" w:hint="eastAsia"/>
          <w:color w:val="333333"/>
          <w:sz w:val="27"/>
          <w:szCs w:val="27"/>
        </w:rPr>
        <w:t>与投资机遇</w:t>
      </w:r>
    </w:p>
    <w:p w:rsidR="006D390A" w:rsidRPr="00971D52" w:rsidRDefault="006D390A" w:rsidP="00971D52">
      <w:pPr>
        <w:pStyle w:val="ListParagraph"/>
        <w:numPr>
          <w:ilvl w:val="0"/>
          <w:numId w:val="5"/>
        </w:numPr>
        <w:rPr>
          <w:rFonts w:ascii="SimSun" w:hAnsi="SimSun" w:cs="SimSun"/>
          <w:color w:val="333333"/>
          <w:sz w:val="27"/>
          <w:szCs w:val="27"/>
        </w:rPr>
      </w:pPr>
      <w:r w:rsidRPr="00971D52">
        <w:rPr>
          <w:rFonts w:ascii="SimSun" w:hAnsi="SimSun" w:cs="SimSun" w:hint="eastAsia"/>
          <w:color w:val="333333"/>
          <w:sz w:val="27"/>
          <w:szCs w:val="27"/>
        </w:rPr>
        <w:t>更新国家最新新能源政策法规</w:t>
      </w:r>
    </w:p>
    <w:p w:rsidR="006D390A" w:rsidRPr="00971D52" w:rsidRDefault="006D390A" w:rsidP="00971D52">
      <w:pPr>
        <w:pStyle w:val="ListParagraph"/>
        <w:numPr>
          <w:ilvl w:val="0"/>
          <w:numId w:val="5"/>
        </w:numPr>
        <w:rPr>
          <w:rFonts w:ascii="SimSun" w:hAnsi="SimSun" w:cs="SimSun"/>
          <w:color w:val="333333"/>
          <w:sz w:val="27"/>
          <w:szCs w:val="27"/>
        </w:rPr>
      </w:pPr>
      <w:r w:rsidRPr="00971D52">
        <w:rPr>
          <w:rFonts w:ascii="SimSun" w:hAnsi="SimSun" w:cs="SimSun" w:hint="eastAsia"/>
          <w:color w:val="333333"/>
          <w:sz w:val="27"/>
          <w:szCs w:val="27"/>
        </w:rPr>
        <w:t>引见与相关政府机构代表会面；辅助</w:t>
      </w:r>
      <w:r w:rsidRPr="00971D52">
        <w:rPr>
          <w:rFonts w:ascii="SimSun" w:hAnsi="SimSun" w:cs="SimSun"/>
          <w:color w:val="333333"/>
          <w:sz w:val="27"/>
          <w:szCs w:val="27"/>
        </w:rPr>
        <w:t>机构相关人士</w:t>
      </w:r>
      <w:r w:rsidRPr="00971D52">
        <w:rPr>
          <w:rFonts w:ascii="SimSun" w:hAnsi="SimSun" w:cs="SimSun" w:hint="eastAsia"/>
          <w:color w:val="333333"/>
          <w:sz w:val="27"/>
          <w:szCs w:val="27"/>
        </w:rPr>
        <w:t>与潜在商业伙伴相互联系</w:t>
      </w:r>
    </w:p>
    <w:p w:rsidR="006D390A" w:rsidRPr="00971D52" w:rsidRDefault="006D390A" w:rsidP="00971D52">
      <w:pPr>
        <w:pStyle w:val="ListParagraph"/>
        <w:numPr>
          <w:ilvl w:val="0"/>
          <w:numId w:val="5"/>
        </w:numPr>
        <w:rPr>
          <w:rFonts w:ascii="SimSun" w:hAnsi="SimSun" w:cs="SimSun"/>
          <w:color w:val="333333"/>
          <w:sz w:val="27"/>
          <w:szCs w:val="27"/>
        </w:rPr>
      </w:pPr>
      <w:r w:rsidRPr="00971D52">
        <w:rPr>
          <w:rFonts w:ascii="SimSun" w:hAnsi="SimSun" w:cs="SimSun" w:hint="eastAsia"/>
          <w:color w:val="333333"/>
          <w:sz w:val="27"/>
          <w:szCs w:val="27"/>
        </w:rPr>
        <w:t>独家提供与当地企业进行</w:t>
      </w:r>
      <w:r w:rsidRPr="00971D52">
        <w:rPr>
          <w:rFonts w:ascii="SimSun" w:hAnsi="SimSun" w:cs="SimSun"/>
          <w:color w:val="333333"/>
          <w:sz w:val="27"/>
          <w:szCs w:val="27"/>
        </w:rPr>
        <w:t>商业配对</w:t>
      </w:r>
      <w:r w:rsidRPr="00971D52">
        <w:rPr>
          <w:rFonts w:ascii="SimSun" w:hAnsi="SimSun" w:cs="SimSun" w:hint="eastAsia"/>
          <w:color w:val="333333"/>
          <w:sz w:val="27"/>
          <w:szCs w:val="27"/>
        </w:rPr>
        <w:t>服务平台</w:t>
      </w:r>
    </w:p>
    <w:p w:rsidR="00DF6F91" w:rsidRPr="00971D52" w:rsidRDefault="00DF6F91">
      <w:pPr>
        <w:rPr>
          <w:rFonts w:ascii="SimSun" w:eastAsia="SimSun" w:hAnsi="SimSun" w:cs="SimSun"/>
          <w:color w:val="333333"/>
          <w:sz w:val="27"/>
          <w:szCs w:val="27"/>
        </w:rPr>
      </w:pPr>
    </w:p>
    <w:p w:rsidR="00CD79D0" w:rsidRPr="00747B15" w:rsidRDefault="00CD79D0" w:rsidP="00CD79D0">
      <w:pPr>
        <w:rPr>
          <w:rFonts w:asciiTheme="majorHAnsi" w:hAnsiTheme="majorHAnsi"/>
        </w:rPr>
      </w:pPr>
      <w:r w:rsidRPr="00971D52">
        <w:rPr>
          <w:rFonts w:ascii="SimSun" w:eastAsia="SimSun" w:hAnsi="SimSun" w:cs="SimSun"/>
          <w:color w:val="333333"/>
          <w:sz w:val="27"/>
          <w:szCs w:val="27"/>
        </w:rPr>
        <w:t>欲知详情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，敬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请联络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丘惠君女士+603 4045 5999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或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发</w:t>
      </w:r>
      <w:r w:rsidRPr="00971D52">
        <w:rPr>
          <w:rFonts w:ascii="SimSun" w:eastAsia="SimSun" w:hAnsi="SimSun" w:cs="SimSun"/>
          <w:color w:val="333333"/>
          <w:sz w:val="27"/>
          <w:szCs w:val="27"/>
        </w:rPr>
        <w:t>电邮</w:t>
      </w:r>
      <w:r w:rsidRPr="00971D52">
        <w:rPr>
          <w:rFonts w:ascii="SimSun" w:eastAsia="SimSun" w:hAnsi="SimSun" w:cs="SimSun" w:hint="eastAsia"/>
          <w:color w:val="333333"/>
          <w:sz w:val="27"/>
          <w:szCs w:val="27"/>
        </w:rPr>
        <w:t>至</w:t>
      </w:r>
      <w:hyperlink r:id="rId10" w:history="1">
        <w:r w:rsidRPr="00747B15">
          <w:rPr>
            <w:bCs/>
            <w:color w:val="000000"/>
            <w:sz w:val="23"/>
            <w:szCs w:val="23"/>
            <w:u w:val="single"/>
          </w:rPr>
          <w:t>june.hue@confexhub.com</w:t>
        </w:r>
      </w:hyperlink>
      <w:r w:rsidRPr="000F13F6">
        <w:rPr>
          <w:rFonts w:hint="eastAsia"/>
          <w:bCs/>
          <w:color w:val="000000"/>
          <w:sz w:val="23"/>
          <w:szCs w:val="23"/>
        </w:rPr>
        <w:t>。</w:t>
      </w:r>
    </w:p>
    <w:p w:rsidR="00CD79D0" w:rsidRDefault="00CD79D0"/>
    <w:sectPr w:rsidR="00CD7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AE1"/>
    <w:multiLevelType w:val="hybridMultilevel"/>
    <w:tmpl w:val="215637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6B4E"/>
    <w:multiLevelType w:val="hybridMultilevel"/>
    <w:tmpl w:val="C94C13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28D2"/>
    <w:multiLevelType w:val="hybridMultilevel"/>
    <w:tmpl w:val="5FE8CE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6F18"/>
    <w:multiLevelType w:val="multilevel"/>
    <w:tmpl w:val="6BA06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B1479"/>
    <w:multiLevelType w:val="multilevel"/>
    <w:tmpl w:val="3410A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24"/>
    <w:rsid w:val="00095724"/>
    <w:rsid w:val="00121F10"/>
    <w:rsid w:val="00154D38"/>
    <w:rsid w:val="00312C32"/>
    <w:rsid w:val="00340DF7"/>
    <w:rsid w:val="003F784C"/>
    <w:rsid w:val="004165B9"/>
    <w:rsid w:val="006D390A"/>
    <w:rsid w:val="00793BAE"/>
    <w:rsid w:val="007E09D5"/>
    <w:rsid w:val="009374C0"/>
    <w:rsid w:val="00971D52"/>
    <w:rsid w:val="00B639CE"/>
    <w:rsid w:val="00BE7ECE"/>
    <w:rsid w:val="00C17444"/>
    <w:rsid w:val="00CD79D0"/>
    <w:rsid w:val="00CF1F63"/>
    <w:rsid w:val="00CF3C7F"/>
    <w:rsid w:val="00DC2D85"/>
    <w:rsid w:val="00DF2BB0"/>
    <w:rsid w:val="00DF6F91"/>
    <w:rsid w:val="00E41B85"/>
    <w:rsid w:val="00E437BC"/>
    <w:rsid w:val="00E4425D"/>
    <w:rsid w:val="00F308C5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DF6F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F6F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6F91"/>
    <w:pPr>
      <w:spacing w:after="0" w:line="240" w:lineRule="auto"/>
    </w:pPr>
    <w:rPr>
      <w:rFonts w:ascii="Calibri" w:eastAsia="SimSun" w:hAnsi="Calibri" w:cs="Times New Roman"/>
      <w:lang w:val="en-US"/>
    </w:rPr>
  </w:style>
  <w:style w:type="paragraph" w:customStyle="1" w:styleId="ParaAttribute5">
    <w:name w:val="ParaAttribute5"/>
    <w:rsid w:val="00DF6F91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sid w:val="00DF6F91"/>
    <w:rPr>
      <w:rFonts w:ascii="Cambria" w:eastAsia="Calibri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F91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6F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F6F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F6F9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DF6F91"/>
  </w:style>
  <w:style w:type="character" w:styleId="Strong">
    <w:name w:val="Strong"/>
    <w:basedOn w:val="DefaultParagraphFont"/>
    <w:uiPriority w:val="22"/>
    <w:qFormat/>
    <w:rsid w:val="00DF6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21F10"/>
    <w:rPr>
      <w:i/>
      <w:iCs/>
    </w:rPr>
  </w:style>
  <w:style w:type="paragraph" w:styleId="ListParagraph">
    <w:name w:val="List Paragraph"/>
    <w:basedOn w:val="Normal"/>
    <w:uiPriority w:val="34"/>
    <w:qFormat/>
    <w:rsid w:val="006D390A"/>
    <w:pPr>
      <w:widowControl w:val="0"/>
      <w:spacing w:after="0" w:line="240" w:lineRule="auto"/>
      <w:ind w:left="720"/>
      <w:contextualSpacing/>
      <w:jc w:val="both"/>
    </w:pPr>
    <w:rPr>
      <w:rFonts w:ascii="Calibri" w:eastAsia="SimSun" w:hAnsi="Calibri" w:cs="Times New Roman"/>
      <w:kern w:val="2"/>
      <w:sz w:val="21"/>
      <w:lang w:val="en-GB"/>
    </w:rPr>
  </w:style>
  <w:style w:type="character" w:styleId="Hyperlink">
    <w:name w:val="Hyperlink"/>
    <w:basedOn w:val="DefaultParagraphFont"/>
    <w:uiPriority w:val="99"/>
    <w:unhideWhenUsed/>
    <w:rsid w:val="003F7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DF6F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F6F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6F91"/>
    <w:pPr>
      <w:spacing w:after="0" w:line="240" w:lineRule="auto"/>
    </w:pPr>
    <w:rPr>
      <w:rFonts w:ascii="Calibri" w:eastAsia="SimSun" w:hAnsi="Calibri" w:cs="Times New Roman"/>
      <w:lang w:val="en-US"/>
    </w:rPr>
  </w:style>
  <w:style w:type="paragraph" w:customStyle="1" w:styleId="ParaAttribute5">
    <w:name w:val="ParaAttribute5"/>
    <w:rsid w:val="00DF6F91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sid w:val="00DF6F91"/>
    <w:rPr>
      <w:rFonts w:ascii="Cambria" w:eastAsia="Calibri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F91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6F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F6F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F6F9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DF6F91"/>
  </w:style>
  <w:style w:type="character" w:styleId="Strong">
    <w:name w:val="Strong"/>
    <w:basedOn w:val="DefaultParagraphFont"/>
    <w:uiPriority w:val="22"/>
    <w:qFormat/>
    <w:rsid w:val="00DF6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21F10"/>
    <w:rPr>
      <w:i/>
      <w:iCs/>
    </w:rPr>
  </w:style>
  <w:style w:type="paragraph" w:styleId="ListParagraph">
    <w:name w:val="List Paragraph"/>
    <w:basedOn w:val="Normal"/>
    <w:uiPriority w:val="34"/>
    <w:qFormat/>
    <w:rsid w:val="006D390A"/>
    <w:pPr>
      <w:widowControl w:val="0"/>
      <w:spacing w:after="0" w:line="240" w:lineRule="auto"/>
      <w:ind w:left="720"/>
      <w:contextualSpacing/>
      <w:jc w:val="both"/>
    </w:pPr>
    <w:rPr>
      <w:rFonts w:ascii="Calibri" w:eastAsia="SimSun" w:hAnsi="Calibri" w:cs="Times New Roman"/>
      <w:kern w:val="2"/>
      <w:sz w:val="21"/>
      <w:lang w:val="en-GB"/>
    </w:rPr>
  </w:style>
  <w:style w:type="character" w:styleId="Hyperlink">
    <w:name w:val="Hyperlink"/>
    <w:basedOn w:val="DefaultParagraphFont"/>
    <w:uiPriority w:val="99"/>
    <w:unhideWhenUsed/>
    <w:rsid w:val="003F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mges2015-solar.confexhub.com/images/MGES2015-Myanmar-Monthly-Solar-Radiatio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ne.hue@confexhu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es2015-solar.confexhub.com/images/MGES2015-Myanmar-Radiation-Compare-to-Other-Countr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2015-05-28T03:06:00Z</dcterms:created>
  <dcterms:modified xsi:type="dcterms:W3CDTF">2015-05-29T08:27:00Z</dcterms:modified>
</cp:coreProperties>
</file>